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4C5EB444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14130B">
        <w:rPr>
          <w:rFonts w:ascii="Tahoma" w:hAnsi="Tahoma" w:cs="Tahoma"/>
        </w:rPr>
        <w:t>ČERNÁ, EISNER (od 3.hod)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37A8227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0E1500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14130B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1D92BC54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4130B">
        <w:rPr>
          <w:rFonts w:ascii="Tahoma" w:hAnsi="Tahoma" w:cs="Tahoma"/>
          <w:noProof/>
        </w:rPr>
        <w:drawing>
          <wp:inline distT="0" distB="0" distL="0" distR="0" wp14:anchorId="303168E7" wp14:editId="6C290BC5">
            <wp:extent cx="6138375" cy="5257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942" cy="526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8E015A9" w:rsidR="001F3A2A" w:rsidRPr="00374E38" w:rsidRDefault="00BB2ABA" w:rsidP="001F3A2A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1F92A5EF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1500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30B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1F3A2A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E5891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3799D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24A3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15</cp:revision>
  <cp:lastPrinted>2026-03-13T11:00:00Z</cp:lastPrinted>
  <dcterms:created xsi:type="dcterms:W3CDTF">2025-09-23T06:34:00Z</dcterms:created>
  <dcterms:modified xsi:type="dcterms:W3CDTF">2026-03-13T11:01:00Z</dcterms:modified>
</cp:coreProperties>
</file>